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922" w:rsidRDefault="00C33922" w:rsidP="00C33922">
      <w:pPr>
        <w:spacing w:line="20" w:lineRule="atLeast"/>
        <w:rPr>
          <w:b/>
          <w:color w:val="FF0000"/>
        </w:rPr>
      </w:pPr>
      <w:r>
        <w:rPr>
          <w:b/>
          <w:color w:val="FF0000"/>
        </w:rPr>
        <w:t>ОП.01. Инженерная графика</w:t>
      </w:r>
    </w:p>
    <w:p w:rsidR="00C33922" w:rsidRDefault="00C33922" w:rsidP="00C33922">
      <w:pPr>
        <w:spacing w:line="20" w:lineRule="atLeast"/>
        <w:rPr>
          <w:b/>
          <w:color w:val="FF0000"/>
        </w:rPr>
      </w:pPr>
      <w:r>
        <w:rPr>
          <w:b/>
          <w:color w:val="FF0000"/>
        </w:rPr>
        <w:t>Практические занятия: №46, №47</w:t>
      </w:r>
    </w:p>
    <w:p w:rsidR="00C33922" w:rsidRDefault="00C33922" w:rsidP="00C33922">
      <w:pPr>
        <w:spacing w:line="20" w:lineRule="atLeast"/>
        <w:rPr>
          <w:b/>
          <w:color w:val="FF0000"/>
        </w:rPr>
      </w:pPr>
    </w:p>
    <w:p w:rsidR="00C33922" w:rsidRPr="00C33922" w:rsidRDefault="00C33922" w:rsidP="00C33922">
      <w:pPr>
        <w:pStyle w:val="a3"/>
        <w:spacing w:before="0" w:beforeAutospacing="0" w:after="0" w:afterAutospacing="0" w:line="20" w:lineRule="atLeast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Раздел 5. </w:t>
      </w:r>
      <w:r w:rsidRPr="00C33922">
        <w:rPr>
          <w:b/>
          <w:bCs/>
          <w:color w:val="000000"/>
          <w:sz w:val="28"/>
          <w:szCs w:val="28"/>
        </w:rPr>
        <w:t>Чертежи и схемы по специальности</w:t>
      </w:r>
    </w:p>
    <w:p w:rsidR="00C33922" w:rsidRDefault="00C33922" w:rsidP="00C33922">
      <w:pPr>
        <w:pStyle w:val="a3"/>
        <w:spacing w:before="0" w:beforeAutospacing="0" w:after="0" w:afterAutospacing="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Тема 4.6.</w:t>
      </w:r>
    </w:p>
    <w:p w:rsidR="00C33922" w:rsidRDefault="00C33922" w:rsidP="00C33922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Чертёж общего вида </w:t>
      </w:r>
    </w:p>
    <w:p w:rsidR="00C33922" w:rsidRDefault="00C33922" w:rsidP="00C33922">
      <w:pPr>
        <w:rPr>
          <w:b/>
          <w:color w:val="000000" w:themeColor="text1"/>
        </w:rPr>
      </w:pPr>
      <w:r>
        <w:rPr>
          <w:b/>
          <w:color w:val="000000" w:themeColor="text1"/>
        </w:rPr>
        <w:t>и сборочный чертёж</w:t>
      </w:r>
    </w:p>
    <w:p w:rsidR="00C33922" w:rsidRDefault="00C33922" w:rsidP="00C33922">
      <w:pPr>
        <w:rPr>
          <w:b/>
          <w:color w:val="000000" w:themeColor="text1"/>
        </w:rPr>
      </w:pPr>
    </w:p>
    <w:p w:rsidR="00C33922" w:rsidRDefault="00C33922" w:rsidP="00C33922">
      <w:pPr>
        <w:pStyle w:val="a3"/>
        <w:spacing w:before="0" w:beforeAutospacing="0" w:after="0" w:afterAutospacing="0" w:line="20" w:lineRule="atLeast"/>
        <w:rPr>
          <w:b/>
          <w:bCs/>
          <w:color w:val="FF0000"/>
          <w:u w:val="single"/>
        </w:rPr>
      </w:pPr>
      <w:r>
        <w:rPr>
          <w:b/>
          <w:bCs/>
          <w:color w:val="FF0000"/>
          <w:u w:val="single"/>
        </w:rPr>
        <w:t>ПЗ №</w:t>
      </w:r>
      <w:proofErr w:type="gramStart"/>
      <w:r>
        <w:rPr>
          <w:b/>
          <w:bCs/>
          <w:color w:val="FF0000"/>
          <w:u w:val="single"/>
        </w:rPr>
        <w:t>46,  №</w:t>
      </w:r>
      <w:proofErr w:type="gramEnd"/>
      <w:r>
        <w:rPr>
          <w:b/>
          <w:bCs/>
          <w:color w:val="FF0000"/>
          <w:u w:val="single"/>
        </w:rPr>
        <w:t>47</w:t>
      </w:r>
    </w:p>
    <w:p w:rsidR="00C33922" w:rsidRDefault="00C33922" w:rsidP="00C33922">
      <w:pPr>
        <w:pStyle w:val="a3"/>
        <w:spacing w:before="0" w:beforeAutospacing="0" w:after="0" w:afterAutospacing="0" w:line="20" w:lineRule="atLeast"/>
        <w:rPr>
          <w:b/>
          <w:bCs/>
          <w:color w:val="FF0000"/>
          <w:u w:val="single"/>
        </w:rPr>
      </w:pPr>
      <w:r>
        <w:rPr>
          <w:b/>
          <w:bCs/>
          <w:color w:val="FF0000"/>
          <w:u w:val="single"/>
        </w:rPr>
        <w:t>Выполнение кинематической схемы</w:t>
      </w:r>
    </w:p>
    <w:p w:rsidR="00C33922" w:rsidRDefault="00C33922" w:rsidP="00C33922">
      <w:pPr>
        <w:pStyle w:val="a3"/>
        <w:spacing w:before="0" w:beforeAutospacing="0" w:after="0" w:afterAutospacing="0" w:line="20" w:lineRule="atLeast"/>
        <w:rPr>
          <w:b/>
          <w:bCs/>
          <w:color w:val="FF0000"/>
        </w:rPr>
      </w:pPr>
    </w:p>
    <w:p w:rsidR="00C33922" w:rsidRPr="00C33922" w:rsidRDefault="00C33922" w:rsidP="00C33922">
      <w:pPr>
        <w:pStyle w:val="a3"/>
        <w:spacing w:before="0" w:beforeAutospacing="0" w:after="0" w:afterAutospacing="0" w:line="20" w:lineRule="atLeast"/>
        <w:rPr>
          <w:b/>
          <w:bCs/>
          <w:i/>
          <w:color w:val="000000" w:themeColor="text1"/>
        </w:rPr>
      </w:pPr>
      <w:r w:rsidRPr="00C33922">
        <w:rPr>
          <w:b/>
          <w:bCs/>
          <w:i/>
          <w:color w:val="000000" w:themeColor="text1"/>
        </w:rPr>
        <w:t>1.Задане</w:t>
      </w:r>
    </w:p>
    <w:p w:rsidR="00C33922" w:rsidRPr="00660E86" w:rsidRDefault="00C33922" w:rsidP="00C33922">
      <w:pPr>
        <w:spacing w:line="20" w:lineRule="atLeast"/>
        <w:rPr>
          <w:b/>
          <w:color w:val="000000" w:themeColor="text1"/>
        </w:rPr>
      </w:pPr>
      <w:r>
        <w:rPr>
          <w:b/>
          <w:color w:val="000000" w:themeColor="text1"/>
        </w:rPr>
        <w:t>Графическая работа №16</w:t>
      </w:r>
    </w:p>
    <w:p w:rsidR="00C33922" w:rsidRDefault="00C33922" w:rsidP="00C33922">
      <w:pPr>
        <w:jc w:val="both"/>
        <w:rPr>
          <w:color w:val="000000" w:themeColor="text1"/>
        </w:rPr>
      </w:pPr>
      <w:proofErr w:type="gramStart"/>
      <w:r w:rsidRPr="00660E86">
        <w:rPr>
          <w:color w:val="000000" w:themeColor="text1"/>
        </w:rPr>
        <w:t>Выполнение  кинематической</w:t>
      </w:r>
      <w:proofErr w:type="gramEnd"/>
      <w:r w:rsidRPr="00660E86">
        <w:rPr>
          <w:color w:val="000000" w:themeColor="text1"/>
        </w:rPr>
        <w:t xml:space="preserve"> принципиальной схемы</w:t>
      </w:r>
      <w:r>
        <w:rPr>
          <w:color w:val="000000" w:themeColor="text1"/>
        </w:rPr>
        <w:t xml:space="preserve"> в соответствии с правилами ГОСТ. Формат А3</w:t>
      </w:r>
    </w:p>
    <w:p w:rsidR="00F53B5A" w:rsidRDefault="00C33922" w:rsidP="00C33922">
      <w:pPr>
        <w:rPr>
          <w:color w:val="000000" w:themeColor="text1"/>
        </w:rPr>
      </w:pPr>
      <w:r>
        <w:rPr>
          <w:color w:val="000000" w:themeColor="text1"/>
        </w:rPr>
        <w:t>Заполнение таблицы перечня элементов схемы</w:t>
      </w:r>
    </w:p>
    <w:p w:rsidR="00C33922" w:rsidRDefault="00C33922" w:rsidP="00C33922">
      <w:pPr>
        <w:rPr>
          <w:color w:val="000000" w:themeColor="text1"/>
        </w:rPr>
      </w:pPr>
    </w:p>
    <w:p w:rsidR="00C33922" w:rsidRPr="00C33922" w:rsidRDefault="00C33922" w:rsidP="00C33922">
      <w:pPr>
        <w:pStyle w:val="a3"/>
        <w:spacing w:before="0" w:beforeAutospacing="0" w:after="0" w:afterAutospacing="0" w:line="20" w:lineRule="atLeast"/>
        <w:rPr>
          <w:b/>
          <w:bCs/>
          <w:i/>
          <w:color w:val="000000" w:themeColor="text1"/>
        </w:rPr>
      </w:pPr>
      <w:r>
        <w:rPr>
          <w:b/>
          <w:bCs/>
          <w:i/>
          <w:color w:val="000000" w:themeColor="text1"/>
        </w:rPr>
        <w:t>2</w:t>
      </w:r>
      <w:r w:rsidRPr="00C33922">
        <w:rPr>
          <w:b/>
          <w:bCs/>
          <w:i/>
          <w:color w:val="000000" w:themeColor="text1"/>
        </w:rPr>
        <w:t>.Задане</w:t>
      </w:r>
    </w:p>
    <w:p w:rsidR="00C33922" w:rsidRPr="00660E86" w:rsidRDefault="00C33922" w:rsidP="00C33922">
      <w:pPr>
        <w:spacing w:line="20" w:lineRule="atLeast"/>
        <w:rPr>
          <w:b/>
          <w:color w:val="000000" w:themeColor="text1"/>
        </w:rPr>
      </w:pPr>
      <w:r>
        <w:rPr>
          <w:b/>
          <w:color w:val="000000" w:themeColor="text1"/>
        </w:rPr>
        <w:t>Завершение графической работы №16</w:t>
      </w:r>
    </w:p>
    <w:p w:rsidR="00C33922" w:rsidRDefault="00C33922" w:rsidP="00C33922">
      <w:pPr>
        <w:spacing w:line="20" w:lineRule="atLeast"/>
        <w:jc w:val="both"/>
        <w:rPr>
          <w:color w:val="000000" w:themeColor="text1"/>
        </w:rPr>
      </w:pPr>
      <w:proofErr w:type="gramStart"/>
      <w:r w:rsidRPr="00660E86">
        <w:rPr>
          <w:color w:val="000000" w:themeColor="text1"/>
        </w:rPr>
        <w:t>Выполнение  кинематической</w:t>
      </w:r>
      <w:proofErr w:type="gramEnd"/>
      <w:r w:rsidRPr="00660E86">
        <w:rPr>
          <w:color w:val="000000" w:themeColor="text1"/>
        </w:rPr>
        <w:t xml:space="preserve"> принципиальной схемы</w:t>
      </w:r>
      <w:r>
        <w:rPr>
          <w:color w:val="000000" w:themeColor="text1"/>
        </w:rPr>
        <w:t xml:space="preserve"> в соответствии с правилами ГОСТ. Формат А3</w:t>
      </w:r>
    </w:p>
    <w:p w:rsidR="00C33922" w:rsidRDefault="00C33922" w:rsidP="00C33922">
      <w:pPr>
        <w:rPr>
          <w:color w:val="000000" w:themeColor="text1"/>
        </w:rPr>
      </w:pPr>
      <w:r>
        <w:rPr>
          <w:color w:val="000000" w:themeColor="text1"/>
        </w:rPr>
        <w:t>Заполнение таблицы перечня элементов схемы.</w:t>
      </w:r>
    </w:p>
    <w:p w:rsidR="00A737F2" w:rsidRDefault="00A737F2" w:rsidP="00C33922">
      <w:pPr>
        <w:rPr>
          <w:color w:val="000000" w:themeColor="text1"/>
        </w:rPr>
      </w:pPr>
    </w:p>
    <w:p w:rsidR="00A737F2" w:rsidRDefault="00A737F2" w:rsidP="00C33922">
      <w:pPr>
        <w:rPr>
          <w:color w:val="000000" w:themeColor="text1"/>
        </w:rPr>
      </w:pPr>
    </w:p>
    <w:p w:rsidR="00A737F2" w:rsidRDefault="00A737F2" w:rsidP="00C33922">
      <w:pPr>
        <w:rPr>
          <w:color w:val="000000" w:themeColor="text1"/>
        </w:rPr>
      </w:pPr>
    </w:p>
    <w:p w:rsidR="00A737F2" w:rsidRDefault="00A737F2" w:rsidP="00C33922">
      <w:pPr>
        <w:rPr>
          <w:color w:val="000000" w:themeColor="text1"/>
        </w:rPr>
      </w:pPr>
    </w:p>
    <w:p w:rsidR="00A737F2" w:rsidRDefault="00A737F2" w:rsidP="00A737F2">
      <w:pPr>
        <w:shd w:val="clear" w:color="auto" w:fill="FFFFFF"/>
        <w:spacing w:line="20" w:lineRule="atLeast"/>
        <w:jc w:val="center"/>
        <w:outlineLvl w:val="0"/>
        <w:rPr>
          <w:b/>
          <w:iCs/>
          <w:color w:val="663333"/>
          <w:spacing w:val="15"/>
          <w:kern w:val="36"/>
        </w:rPr>
      </w:pPr>
      <w:r w:rsidRPr="00A737F2">
        <w:rPr>
          <w:b/>
          <w:iCs/>
          <w:color w:val="663333"/>
          <w:spacing w:val="15"/>
          <w:kern w:val="36"/>
        </w:rPr>
        <w:t>СОСТАВЛЕНИЕ КИНЕМАТИЧЕСКИХ СХЕМ МЕХАНИЗМОВ</w:t>
      </w:r>
    </w:p>
    <w:p w:rsidR="00A737F2" w:rsidRPr="00A737F2" w:rsidRDefault="00A737F2" w:rsidP="00A737F2">
      <w:pPr>
        <w:shd w:val="clear" w:color="auto" w:fill="FFFFFF"/>
        <w:spacing w:line="20" w:lineRule="atLeast"/>
        <w:jc w:val="center"/>
        <w:outlineLvl w:val="0"/>
        <w:rPr>
          <w:b/>
          <w:iCs/>
          <w:color w:val="663333"/>
          <w:spacing w:val="15"/>
          <w:kern w:val="36"/>
        </w:rPr>
      </w:pPr>
    </w:p>
    <w:p w:rsidR="00A737F2" w:rsidRDefault="00A737F2" w:rsidP="00A737F2">
      <w:pPr>
        <w:pStyle w:val="a3"/>
        <w:shd w:val="clear" w:color="auto" w:fill="FFFFFF"/>
        <w:spacing w:before="0" w:beforeAutospacing="0" w:after="0" w:afterAutospacing="0" w:line="20" w:lineRule="atLeast"/>
        <w:ind w:firstLine="567"/>
        <w:jc w:val="both"/>
        <w:rPr>
          <w:color w:val="000000"/>
        </w:rPr>
      </w:pPr>
      <w:r>
        <w:rPr>
          <w:rStyle w:val="a4"/>
          <w:color w:val="000000"/>
        </w:rPr>
        <w:t>Краткие теоретические сведения</w:t>
      </w:r>
    </w:p>
    <w:p w:rsidR="00A737F2" w:rsidRDefault="00A737F2" w:rsidP="00A737F2">
      <w:pPr>
        <w:pStyle w:val="a3"/>
        <w:shd w:val="clear" w:color="auto" w:fill="FFFFFF"/>
        <w:spacing w:before="0" w:beforeAutospacing="0" w:after="0" w:afterAutospacing="0" w:line="20" w:lineRule="atLeast"/>
        <w:ind w:firstLine="567"/>
        <w:jc w:val="both"/>
        <w:rPr>
          <w:color w:val="000000"/>
        </w:rPr>
      </w:pPr>
      <w:r>
        <w:rPr>
          <w:color w:val="000000"/>
        </w:rPr>
        <w:t>Единая система конструкторской документации (ЕСКД) ГОСТ 2.101-68. "Виды изделий" устанавливает для всех отраслей промышленности следующие виды изделий: детали, сборочные единицы, комплексы и комплекты.</w:t>
      </w:r>
    </w:p>
    <w:p w:rsidR="00A737F2" w:rsidRDefault="00A737F2" w:rsidP="00A737F2">
      <w:pPr>
        <w:pStyle w:val="a3"/>
        <w:shd w:val="clear" w:color="auto" w:fill="FFFFFF"/>
        <w:spacing w:before="0" w:beforeAutospacing="0" w:after="0" w:afterAutospacing="0" w:line="20" w:lineRule="atLeast"/>
        <w:ind w:firstLine="567"/>
        <w:jc w:val="both"/>
        <w:rPr>
          <w:color w:val="000000"/>
        </w:rPr>
      </w:pPr>
      <w:r>
        <w:rPr>
          <w:rStyle w:val="a4"/>
          <w:color w:val="000000"/>
          <w:u w:val="single"/>
        </w:rPr>
        <w:t>Деталь</w:t>
      </w:r>
      <w:r>
        <w:rPr>
          <w:rStyle w:val="a4"/>
          <w:color w:val="000000"/>
        </w:rPr>
        <w:t> - изделие или часть его, изготовленное из однородного материала без применения сборочных операций.</w:t>
      </w:r>
      <w:r>
        <w:rPr>
          <w:color w:val="000000"/>
        </w:rPr>
        <w:t xml:space="preserve"> Ее называют </w:t>
      </w:r>
      <w:proofErr w:type="spellStart"/>
      <w:r>
        <w:rPr>
          <w:color w:val="000000"/>
        </w:rPr>
        <w:t>неспецифицированным</w:t>
      </w:r>
      <w:proofErr w:type="spellEnd"/>
      <w:r>
        <w:rPr>
          <w:color w:val="000000"/>
        </w:rPr>
        <w:t xml:space="preserve"> изделием, если она не имеет составных элементарных частей (вал, зубчатое колесо, болт, гайка и т. п.), и составным, или специфицированным, — если состоит из двух и более деталей.</w:t>
      </w:r>
    </w:p>
    <w:p w:rsidR="00A737F2" w:rsidRDefault="00A737F2" w:rsidP="00A737F2">
      <w:pPr>
        <w:pStyle w:val="a3"/>
        <w:shd w:val="clear" w:color="auto" w:fill="FFFFFF"/>
        <w:spacing w:before="0" w:beforeAutospacing="0" w:after="0" w:afterAutospacing="0" w:line="20" w:lineRule="atLeast"/>
        <w:ind w:firstLine="567"/>
        <w:jc w:val="both"/>
        <w:rPr>
          <w:color w:val="000000"/>
        </w:rPr>
      </w:pPr>
      <w:r>
        <w:rPr>
          <w:rStyle w:val="a4"/>
          <w:color w:val="000000"/>
          <w:u w:val="single"/>
        </w:rPr>
        <w:t>Сборочная единица</w:t>
      </w:r>
      <w:r>
        <w:rPr>
          <w:rStyle w:val="a4"/>
          <w:color w:val="000000"/>
        </w:rPr>
        <w:t> - специфицированное изделие, составные части которого соединены между собой при помощи сборочных операций</w:t>
      </w:r>
      <w:r>
        <w:rPr>
          <w:color w:val="000000"/>
        </w:rPr>
        <w:t> (редуктор, кран, стрела крана, ковш, отвал и т. п.).</w:t>
      </w:r>
    </w:p>
    <w:p w:rsidR="00A737F2" w:rsidRDefault="00A737F2" w:rsidP="00A737F2">
      <w:pPr>
        <w:pStyle w:val="a3"/>
        <w:shd w:val="clear" w:color="auto" w:fill="FFFFFF"/>
        <w:spacing w:before="0" w:beforeAutospacing="0" w:after="0" w:afterAutospacing="0" w:line="20" w:lineRule="atLeast"/>
        <w:ind w:firstLine="567"/>
        <w:jc w:val="both"/>
        <w:rPr>
          <w:color w:val="000000"/>
        </w:rPr>
      </w:pPr>
      <w:r>
        <w:rPr>
          <w:color w:val="000000"/>
          <w:u w:val="single"/>
        </w:rPr>
        <w:t>Комплекс</w:t>
      </w:r>
      <w:r>
        <w:rPr>
          <w:color w:val="000000"/>
        </w:rPr>
        <w:t> - два или более специфицированных изделия, не соединенных сборочными операциями на предприятии-изготовителе, но предназначенные для выполнения взаимосвязанных эксплуатационных функций (буровая установка, технологическая линия, состоящая из </w:t>
      </w:r>
    </w:p>
    <w:p w:rsidR="00A737F2" w:rsidRDefault="00A737F2" w:rsidP="00A737F2">
      <w:pPr>
        <w:pStyle w:val="a3"/>
        <w:shd w:val="clear" w:color="auto" w:fill="FFFFFF"/>
        <w:spacing w:before="0" w:beforeAutospacing="0" w:after="0" w:afterAutospacing="0" w:line="20" w:lineRule="atLeast"/>
        <w:ind w:firstLine="567"/>
        <w:jc w:val="both"/>
        <w:rPr>
          <w:color w:val="000000"/>
        </w:rPr>
      </w:pPr>
      <w:r>
        <w:rPr>
          <w:color w:val="000000"/>
          <w:u w:val="single"/>
        </w:rPr>
        <w:t>Комплект</w:t>
      </w:r>
      <w:r>
        <w:rPr>
          <w:color w:val="000000"/>
        </w:rPr>
        <w:t> - набор изделий, не соединенных сборочными операциями на предприятии-изготовителе и имеющих общее эксплуатационное назначение вспомогательного характера (комплекты запасных частей, оснастки, инструментов и т. п.).</w:t>
      </w:r>
    </w:p>
    <w:p w:rsidR="00A737F2" w:rsidRDefault="00A737F2" w:rsidP="00A737F2">
      <w:pPr>
        <w:pStyle w:val="a3"/>
        <w:shd w:val="clear" w:color="auto" w:fill="FFFFFF"/>
        <w:spacing w:before="0" w:beforeAutospacing="0" w:after="0" w:afterAutospacing="0" w:line="20" w:lineRule="atLeast"/>
        <w:ind w:firstLine="567"/>
        <w:jc w:val="both"/>
        <w:rPr>
          <w:color w:val="000000"/>
        </w:rPr>
      </w:pPr>
      <w:r>
        <w:rPr>
          <w:rStyle w:val="a4"/>
          <w:color w:val="000000"/>
          <w:u w:val="single"/>
        </w:rPr>
        <w:t>Звено</w:t>
      </w:r>
      <w:r>
        <w:rPr>
          <w:rStyle w:val="a4"/>
          <w:color w:val="000000"/>
        </w:rPr>
        <w:t> - одна или несколько жестко соединенных деталей, входящих в состав механизма</w:t>
      </w:r>
    </w:p>
    <w:p w:rsidR="00A737F2" w:rsidRDefault="00A737F2" w:rsidP="00A737F2">
      <w:pPr>
        <w:pStyle w:val="a3"/>
        <w:shd w:val="clear" w:color="auto" w:fill="FFFFFF"/>
        <w:spacing w:before="0" w:beforeAutospacing="0" w:after="0" w:afterAutospacing="0" w:line="20" w:lineRule="atLeast"/>
        <w:ind w:firstLine="567"/>
        <w:jc w:val="both"/>
        <w:rPr>
          <w:color w:val="000000"/>
        </w:rPr>
      </w:pPr>
      <w:r>
        <w:rPr>
          <w:rStyle w:val="a4"/>
          <w:color w:val="000000"/>
          <w:u w:val="single"/>
        </w:rPr>
        <w:t>Узел</w:t>
      </w:r>
      <w:r>
        <w:rPr>
          <w:rStyle w:val="a4"/>
          <w:color w:val="000000"/>
        </w:rPr>
        <w:t> - часть машины, механизма, установки и т. п., состоящая из нескольких более простых деталей</w:t>
      </w:r>
      <w:r>
        <w:rPr>
          <w:color w:val="000000"/>
        </w:rPr>
        <w:t> (например, подшипник).</w:t>
      </w:r>
    </w:p>
    <w:p w:rsidR="00A737F2" w:rsidRDefault="00A737F2" w:rsidP="00A737F2">
      <w:pPr>
        <w:pStyle w:val="a3"/>
        <w:shd w:val="clear" w:color="auto" w:fill="FFFFFF"/>
        <w:spacing w:before="0" w:beforeAutospacing="0" w:after="0" w:afterAutospacing="0" w:line="20" w:lineRule="atLeast"/>
        <w:ind w:firstLine="567"/>
        <w:jc w:val="both"/>
        <w:rPr>
          <w:color w:val="000000"/>
        </w:rPr>
      </w:pPr>
      <w:r>
        <w:rPr>
          <w:rStyle w:val="a4"/>
          <w:color w:val="000000"/>
          <w:u w:val="single"/>
        </w:rPr>
        <w:t>Механизм</w:t>
      </w:r>
      <w:r>
        <w:rPr>
          <w:rStyle w:val="a4"/>
          <w:color w:val="000000"/>
        </w:rPr>
        <w:t> - система звеньев, предназначенная для преобразования движения одного или нескольких звеньев в требуемые движения других</w:t>
      </w:r>
      <w:r>
        <w:rPr>
          <w:color w:val="000000"/>
        </w:rPr>
        <w:t xml:space="preserve">. Если в преобразовании </w:t>
      </w:r>
      <w:r>
        <w:rPr>
          <w:color w:val="000000"/>
        </w:rPr>
        <w:lastRenderedPageBreak/>
        <w:t>движения участвуют жидкая или газообразная среда, то механизм называется гидравлическим или пневматическим. Обычно в механизме имеется одно входное звено (деталь), получающее движение от двигателя, и одно выходное звено, соединенное с рабочим органом машины или указателем прибора.</w:t>
      </w:r>
    </w:p>
    <w:p w:rsidR="00A737F2" w:rsidRDefault="00A737F2" w:rsidP="00A737F2">
      <w:pPr>
        <w:spacing w:line="20" w:lineRule="atLeast"/>
        <w:jc w:val="center"/>
      </w:pPr>
      <w:r>
        <w:rPr>
          <w:noProof/>
        </w:rPr>
        <w:drawing>
          <wp:inline distT="0" distB="0" distL="0" distR="0" wp14:anchorId="42810C57" wp14:editId="6BC344C3">
            <wp:extent cx="3838575" cy="5753100"/>
            <wp:effectExtent l="0" t="0" r="9525" b="0"/>
            <wp:docPr id="5" name="Рисунок 5" descr="image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age01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37F2" w:rsidRDefault="00A737F2" w:rsidP="00A737F2">
      <w:pPr>
        <w:spacing w:line="20" w:lineRule="atLeast"/>
        <w:jc w:val="center"/>
      </w:pPr>
    </w:p>
    <w:p w:rsidR="00A737F2" w:rsidRDefault="00A737F2" w:rsidP="00A737F2">
      <w:pPr>
        <w:spacing w:line="20" w:lineRule="atLeast"/>
        <w:jc w:val="center"/>
      </w:pPr>
      <w:r>
        <w:t>Рис.1</w:t>
      </w:r>
    </w:p>
    <w:p w:rsidR="00A737F2" w:rsidRDefault="00A737F2" w:rsidP="00A737F2">
      <w:pPr>
        <w:pStyle w:val="a3"/>
        <w:shd w:val="clear" w:color="auto" w:fill="FFFFFF"/>
        <w:spacing w:before="0" w:beforeAutospacing="0" w:after="0" w:afterAutospacing="0" w:line="20" w:lineRule="atLeast"/>
        <w:ind w:firstLine="567"/>
        <w:jc w:val="both"/>
        <w:rPr>
          <w:color w:val="000000"/>
        </w:rPr>
      </w:pPr>
      <w:r>
        <w:rPr>
          <w:rStyle w:val="a4"/>
          <w:color w:val="000000"/>
          <w:u w:val="single"/>
        </w:rPr>
        <w:t>Система</w:t>
      </w:r>
      <w:r>
        <w:rPr>
          <w:rStyle w:val="a4"/>
          <w:color w:val="000000"/>
        </w:rPr>
        <w:t> - совокупность деталей, звеньев и элементов, обеспечивающих выполнение определенной функции машины</w:t>
      </w:r>
      <w:r>
        <w:rPr>
          <w:color w:val="000000"/>
        </w:rPr>
        <w:t>. Например, система управления машиной обеспечивает согласованность движений рабочих органов в соответствии с заданной программой и т. п.</w:t>
      </w:r>
    </w:p>
    <w:p w:rsidR="00A737F2" w:rsidRDefault="00A737F2" w:rsidP="00A737F2">
      <w:pPr>
        <w:pStyle w:val="a3"/>
        <w:shd w:val="clear" w:color="auto" w:fill="FFFFFF"/>
        <w:spacing w:before="0" w:beforeAutospacing="0" w:after="0" w:afterAutospacing="0" w:line="20" w:lineRule="atLeast"/>
        <w:ind w:firstLine="567"/>
        <w:jc w:val="both"/>
        <w:rPr>
          <w:rStyle w:val="a4"/>
          <w:i/>
          <w:iCs/>
          <w:color w:val="000000"/>
        </w:rPr>
      </w:pPr>
      <w:r>
        <w:rPr>
          <w:rStyle w:val="a4"/>
          <w:color w:val="000000"/>
          <w:u w:val="single"/>
        </w:rPr>
        <w:t>Машина</w:t>
      </w:r>
      <w:r>
        <w:rPr>
          <w:rStyle w:val="a4"/>
          <w:color w:val="000000"/>
        </w:rPr>
        <w:t> - устройство, выполняющее механические движения для преобразования энергии, материалов и информации с целью получения новых продуктов и замены или облегчения физического и умственного труда человека.</w:t>
      </w:r>
      <w:r>
        <w:rPr>
          <w:color w:val="000000"/>
        </w:rPr>
        <w:t> Так, с помощью строительных машин и устройств происходит перемещение грузов, материалов и других объектов в пространстве с требуемой скоростью. В энергетических машинах преобразуется энергия, а в информационных - вводимая информация для контроля, регулирования и управления движением. Машины могут состоять из одного или нескольких механизмов. Следовательно, любая машина представляет собой механизм или совокупность механизмов; однако не каждый механизм - машина. </w:t>
      </w:r>
      <w:r>
        <w:rPr>
          <w:rStyle w:val="a4"/>
          <w:i/>
          <w:iCs/>
          <w:color w:val="000000"/>
        </w:rPr>
        <w:t xml:space="preserve">Основное назначение </w:t>
      </w:r>
      <w:r>
        <w:rPr>
          <w:rStyle w:val="a4"/>
          <w:i/>
          <w:iCs/>
          <w:color w:val="000000"/>
        </w:rPr>
        <w:lastRenderedPageBreak/>
        <w:t>механизма заключается в передаче и преобразовании движения. Характерный признак машины заключается в выполнении ею полезной работы.</w:t>
      </w:r>
    </w:p>
    <w:p w:rsidR="00A737F2" w:rsidRDefault="00A737F2" w:rsidP="00A737F2">
      <w:pPr>
        <w:pStyle w:val="a3"/>
        <w:shd w:val="clear" w:color="auto" w:fill="FFFFFF"/>
        <w:spacing w:before="0" w:beforeAutospacing="0" w:after="0" w:afterAutospacing="0" w:line="20" w:lineRule="atLeast"/>
        <w:ind w:firstLine="567"/>
        <w:jc w:val="both"/>
        <w:rPr>
          <w:color w:val="000000"/>
        </w:rPr>
      </w:pP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jc w:val="both"/>
        <w:rPr>
          <w:i/>
          <w:iCs/>
          <w:color w:val="000000"/>
          <w:shd w:val="clear" w:color="auto" w:fill="FFFFFF"/>
        </w:rPr>
      </w:pPr>
      <w:r>
        <w:rPr>
          <w:rStyle w:val="a4"/>
          <w:i/>
          <w:iCs/>
          <w:color w:val="000000"/>
          <w:shd w:val="clear" w:color="auto" w:fill="FFFFFF"/>
        </w:rPr>
        <w:t>КИНЕМАТИЧЕСКИЕ СХЕМЫ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jc w:val="both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В тех случаях, когда интересуются только кинематикой машины или установки, т. е. когда рассматривают только части установки, обеспечивающие движение, схематические изо</w:t>
      </w:r>
      <w:r>
        <w:rPr>
          <w:i/>
          <w:iCs/>
          <w:color w:val="000000"/>
          <w:shd w:val="clear" w:color="auto" w:fill="FFFFFF"/>
        </w:rPr>
        <w:softHyphen/>
        <w:t>бражения могут быть значи</w:t>
      </w:r>
      <w:r>
        <w:rPr>
          <w:i/>
          <w:iCs/>
          <w:color w:val="000000"/>
          <w:shd w:val="clear" w:color="auto" w:fill="FFFFFF"/>
        </w:rPr>
        <w:softHyphen/>
        <w:t>тельно упрощены.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jc w:val="both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Правила выполнения кинематических схем изложены в ГОСТ 2.703—68* (СТ СЭВ 1187—78). Все элементы на схемах изобра</w:t>
      </w:r>
      <w:r>
        <w:rPr>
          <w:i/>
          <w:iCs/>
          <w:color w:val="000000"/>
          <w:shd w:val="clear" w:color="auto" w:fill="FFFFFF"/>
        </w:rPr>
        <w:softHyphen/>
        <w:t>жают условными графическими обозначениями по ГОСТ 2.770—68* или упрощенно в виде контурных очертаний.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jc w:val="both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Каждому кинематическому элементу, изображенному на схеме, как правило, присваи</w:t>
      </w:r>
      <w:r>
        <w:rPr>
          <w:i/>
          <w:iCs/>
          <w:color w:val="000000"/>
          <w:shd w:val="clear" w:color="auto" w:fill="FFFFFF"/>
        </w:rPr>
        <w:softHyphen/>
        <w:t>вают порядковый номер, начиная от источника движения. При этом валы допускается нумеровать римскими цифрами, остальные элементы нумеруют только арабскими цифрами. Порядковый номер элемента проставляют на полке линии-выноски, основные характерист</w:t>
      </w:r>
      <w:r>
        <w:rPr>
          <w:i/>
          <w:iCs/>
          <w:color w:val="000000"/>
          <w:shd w:val="clear" w:color="auto" w:fill="FFFFFF"/>
        </w:rPr>
        <w:t xml:space="preserve">ики и параметры </w:t>
      </w:r>
      <w:proofErr w:type="gramStart"/>
      <w:r>
        <w:rPr>
          <w:i/>
          <w:iCs/>
          <w:color w:val="000000"/>
          <w:shd w:val="clear" w:color="auto" w:fill="FFFFFF"/>
        </w:rPr>
        <w:t xml:space="preserve">кинематического  </w:t>
      </w:r>
      <w:r>
        <w:rPr>
          <w:i/>
          <w:iCs/>
          <w:color w:val="000000"/>
          <w:shd w:val="clear" w:color="auto" w:fill="FFFFFF"/>
        </w:rPr>
        <w:t>элемента</w:t>
      </w:r>
      <w:proofErr w:type="gramEnd"/>
      <w:r>
        <w:rPr>
          <w:i/>
          <w:iCs/>
          <w:color w:val="000000"/>
          <w:shd w:val="clear" w:color="auto" w:fill="FFFFFF"/>
        </w:rPr>
        <w:t xml:space="preserve"> располагают под полкой линии-выноски.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jc w:val="both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В ГОСТ 2.770—68* приведено свыше 200 ус</w:t>
      </w:r>
      <w:r>
        <w:rPr>
          <w:i/>
          <w:iCs/>
          <w:color w:val="000000"/>
          <w:shd w:val="clear" w:color="auto" w:fill="FFFFFF"/>
        </w:rPr>
        <w:softHyphen/>
        <w:t>ловных обозначений для кинематических схем, ко</w:t>
      </w:r>
      <w:r>
        <w:rPr>
          <w:i/>
          <w:iCs/>
          <w:color w:val="000000"/>
          <w:shd w:val="clear" w:color="auto" w:fill="FFFFFF"/>
        </w:rPr>
        <w:softHyphen/>
        <w:t>торыми и следует пользо</w:t>
      </w:r>
      <w:r>
        <w:rPr>
          <w:i/>
          <w:iCs/>
          <w:color w:val="000000"/>
          <w:shd w:val="clear" w:color="auto" w:fill="FFFFFF"/>
        </w:rPr>
        <w:softHyphen/>
        <w:t>ваться при составлении и чтении схем.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На рис. 1 приведены некоторые наиболее расп</w:t>
      </w:r>
      <w:r>
        <w:rPr>
          <w:i/>
          <w:iCs/>
          <w:color w:val="000000"/>
          <w:shd w:val="clear" w:color="auto" w:fill="FFFFFF"/>
        </w:rPr>
        <w:softHyphen/>
        <w:t>ространенные обозначения из ГОСТ 2.770—68* и часто встречающиеся в кинематических схемах сочетания некоторых обозначений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1</w:t>
      </w:r>
      <w:r>
        <w:rPr>
          <w:i/>
          <w:iCs/>
          <w:color w:val="000000"/>
          <w:shd w:val="clear" w:color="auto" w:fill="FFFFFF"/>
        </w:rPr>
        <w:t>—вал, ось, стержень и т. п.;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2 — неподвижное закрепление стержня;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3 — неподвижная опора скольжения для стержня, движущегося воз</w:t>
      </w:r>
      <w:r>
        <w:rPr>
          <w:i/>
          <w:iCs/>
          <w:color w:val="000000"/>
          <w:shd w:val="clear" w:color="auto" w:fill="FFFFFF"/>
        </w:rPr>
        <w:softHyphen/>
        <w:t>вратно-поступательно;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4 — неподвижная опора качения для стерж</w:t>
      </w:r>
      <w:r>
        <w:rPr>
          <w:i/>
          <w:iCs/>
          <w:color w:val="000000"/>
          <w:shd w:val="clear" w:color="auto" w:fill="FFFFFF"/>
        </w:rPr>
        <w:softHyphen/>
        <w:t>ня, движущегося возвратно-поступательно;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5,6 — неподвижное звено (стойка);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7 — неподвижное соединение частей звена;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8 — вращательная кинематическая пара;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9 — подшипник на валу радиальный (без уточнения типа);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10 — радиальный подшипник скольжения;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11</w:t>
      </w:r>
      <w:r>
        <w:rPr>
          <w:i/>
          <w:iCs/>
          <w:color w:val="000000"/>
          <w:shd w:val="clear" w:color="auto" w:fill="FFFFFF"/>
        </w:rPr>
        <w:t>— радиальный подшипник качения;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12 — радиально-упорный односторонний подшипник качения;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13 — посту</w:t>
      </w:r>
      <w:r>
        <w:rPr>
          <w:i/>
          <w:iCs/>
          <w:color w:val="000000"/>
          <w:shd w:val="clear" w:color="auto" w:fill="FFFFFF"/>
        </w:rPr>
        <w:softHyphen/>
        <w:t>пательная кинематическая пара;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14 — винтовая кинематическая пара;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15 —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цилиндрическая кинематическая пара;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16 — непо</w:t>
      </w:r>
      <w:r>
        <w:rPr>
          <w:i/>
          <w:iCs/>
          <w:color w:val="000000"/>
          <w:shd w:val="clear" w:color="auto" w:fill="FFFFFF"/>
        </w:rPr>
        <w:softHyphen/>
        <w:t>движное соединение детали с валом, стержнем;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17 — муфта (общее обозначение);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18 — глухая муфта; 19 — упругая муфта; 20 — компенсирующая муфта;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21 — сцепляемая механическая синхрон</w:t>
      </w:r>
      <w:r>
        <w:rPr>
          <w:i/>
          <w:iCs/>
          <w:color w:val="000000"/>
          <w:shd w:val="clear" w:color="auto" w:fill="FFFFFF"/>
        </w:rPr>
        <w:softHyphen/>
        <w:t xml:space="preserve">ная муфта, </w:t>
      </w:r>
      <w:proofErr w:type="gramStart"/>
      <w:r>
        <w:rPr>
          <w:i/>
          <w:iCs/>
          <w:color w:val="000000"/>
          <w:shd w:val="clear" w:color="auto" w:fill="FFFFFF"/>
        </w:rPr>
        <w:t>например</w:t>
      </w:r>
      <w:proofErr w:type="gramEnd"/>
      <w:r>
        <w:rPr>
          <w:i/>
          <w:iCs/>
          <w:color w:val="000000"/>
          <w:shd w:val="clear" w:color="auto" w:fill="FFFFFF"/>
        </w:rPr>
        <w:t xml:space="preserve"> зубчатая;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22 — сцепляемая (управляемая) муфта (общее обозначение);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23 — плоский вращающийся кулачок;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24, а — цилиндрический барабанный кулачок;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24, б — конический барабанный кулачок;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25 — ползун;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26 — неподвижный цилиндр с поршнем и шатуном;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27 — соединение коленчатого вала с шату</w:t>
      </w:r>
      <w:r>
        <w:rPr>
          <w:i/>
          <w:iCs/>
          <w:color w:val="000000"/>
          <w:shd w:val="clear" w:color="auto" w:fill="FFFFFF"/>
        </w:rPr>
        <w:softHyphen/>
        <w:t>ном;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28 — храповой зубчатый механизм односторонний с наруж</w:t>
      </w:r>
      <w:r>
        <w:rPr>
          <w:i/>
          <w:iCs/>
          <w:color w:val="000000"/>
          <w:shd w:val="clear" w:color="auto" w:fill="FFFFFF"/>
        </w:rPr>
        <w:softHyphen/>
        <w:t>ным зацеплением;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29 — фрикционная передача с цилиндрическими роликами;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30 — фрикционная передача с коническими роликами;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31—маховик на валу;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lastRenderedPageBreak/>
        <w:t>32 — ступенчатый шкив, закрепленный на валу;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33 — открытая передача плоским ремнем;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34 — передача клиновидным ремнем;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35 — передача цепью (без уточнения типа цепи);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36 — цилиндрическая зубчатая передача (без уточнения типа зубьев);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37 — неразъемная гайка на винте, передающем движение;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38 — передача червячная с цилиндрическим червяком;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39 — рукоятка;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40 — </w:t>
      </w:r>
      <w:proofErr w:type="spellStart"/>
      <w:r>
        <w:rPr>
          <w:i/>
          <w:iCs/>
          <w:color w:val="000000"/>
          <w:shd w:val="clear" w:color="auto" w:fill="FFFFFF"/>
        </w:rPr>
        <w:t>маховичок</w:t>
      </w:r>
      <w:proofErr w:type="spellEnd"/>
      <w:r>
        <w:rPr>
          <w:i/>
          <w:iCs/>
          <w:color w:val="000000"/>
          <w:shd w:val="clear" w:color="auto" w:fill="FFFFFF"/>
        </w:rPr>
        <w:t>.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Зная условные обозначения для кинематических схем, можно сравнительно легко читать схематические изображения.</w:t>
      </w:r>
    </w:p>
    <w:p w:rsidR="00A737F2" w:rsidRDefault="00A737F2" w:rsidP="00A737F2">
      <w:pPr>
        <w:spacing w:line="20" w:lineRule="atLeast"/>
        <w:jc w:val="center"/>
      </w:pPr>
      <w:r>
        <w:rPr>
          <w:noProof/>
        </w:rPr>
        <w:drawing>
          <wp:inline distT="0" distB="0" distL="0" distR="0">
            <wp:extent cx="3371850" cy="3133725"/>
            <wp:effectExtent l="0" t="0" r="0" b="9525"/>
            <wp:docPr id="3" name="Рисунок 3" descr="image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0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313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jc w:val="both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Рассматривая кинематическую схему механизма коробки скоростей токарного станка (рис. 2), устанавливают, что на валу электро</w:t>
      </w:r>
      <w:r>
        <w:rPr>
          <w:i/>
          <w:iCs/>
          <w:color w:val="000000"/>
          <w:shd w:val="clear" w:color="auto" w:fill="FFFFFF"/>
        </w:rPr>
        <w:softHyphen/>
        <w:t>двигателя / находится шкив 2. С помощью плоскоременной пере</w:t>
      </w:r>
      <w:r>
        <w:rPr>
          <w:i/>
          <w:iCs/>
          <w:color w:val="000000"/>
          <w:shd w:val="clear" w:color="auto" w:fill="FFFFFF"/>
        </w:rPr>
        <w:softHyphen/>
        <w:t>дачи его вращение передается рабочему шкиву 3, находящемуся на валу /.</w:t>
      </w:r>
    </w:p>
    <w:p w:rsidR="00A737F2" w:rsidRDefault="00A737F2" w:rsidP="00A737F2">
      <w:pPr>
        <w:spacing w:line="20" w:lineRule="atLeast"/>
        <w:ind w:firstLine="567"/>
        <w:jc w:val="both"/>
      </w:pPr>
      <w:r>
        <w:rPr>
          <w:noProof/>
        </w:rPr>
        <w:drawing>
          <wp:inline distT="0" distB="0" distL="0" distR="0">
            <wp:extent cx="2209800" cy="1990725"/>
            <wp:effectExtent l="0" t="0" r="0" b="9525"/>
            <wp:docPr id="2" name="Рисунок 2" descr="image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image02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jc w:val="both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Вдоль оси вала / перемещается тройной блок зубчатых колес 5, 6 и 7; это дает возможность, используя колеса 4, 8, 9 промежу</w:t>
      </w:r>
      <w:r>
        <w:rPr>
          <w:i/>
          <w:iCs/>
          <w:color w:val="000000"/>
          <w:shd w:val="clear" w:color="auto" w:fill="FFFFFF"/>
        </w:rPr>
        <w:softHyphen/>
        <w:t>точного вала //, получить три различных частоты вращения. Зубчатые колеса 10 и 14 находятся в постоянном зацеплении с зуб</w:t>
      </w:r>
      <w:r>
        <w:rPr>
          <w:i/>
          <w:iCs/>
          <w:color w:val="000000"/>
          <w:shd w:val="clear" w:color="auto" w:fill="FFFFFF"/>
        </w:rPr>
        <w:softHyphen/>
        <w:t>чатыми колесами // и 13 вала /// или шпинделя станка. Между колесами // и 13 шпинделя станка расположена сцепляемая двусторонняя муфта 12, которая своими выступами может быть сцеплена при передвижении с выступами ступиц зубчатых колес // и 13. При переключении муфты 12 влево шпиндель может полу</w:t>
      </w:r>
      <w:r>
        <w:rPr>
          <w:i/>
          <w:iCs/>
          <w:color w:val="000000"/>
          <w:shd w:val="clear" w:color="auto" w:fill="FFFFFF"/>
        </w:rPr>
        <w:softHyphen/>
        <w:t>чить от трех комбинаций блока зубчатых колес вала / через зуб</w:t>
      </w:r>
      <w:r>
        <w:rPr>
          <w:i/>
          <w:iCs/>
          <w:color w:val="000000"/>
          <w:shd w:val="clear" w:color="auto" w:fill="FFFFFF"/>
        </w:rPr>
        <w:softHyphen/>
        <w:t xml:space="preserve">чатое колесо 10 три разных частоты вращения. При </w:t>
      </w:r>
      <w:r>
        <w:rPr>
          <w:i/>
          <w:iCs/>
          <w:color w:val="000000"/>
          <w:shd w:val="clear" w:color="auto" w:fill="FFFFFF"/>
        </w:rPr>
        <w:lastRenderedPageBreak/>
        <w:t>первом вклю</w:t>
      </w:r>
      <w:r>
        <w:rPr>
          <w:i/>
          <w:iCs/>
          <w:color w:val="000000"/>
          <w:shd w:val="clear" w:color="auto" w:fill="FFFFFF"/>
        </w:rPr>
        <w:softHyphen/>
        <w:t>чении муфты 12 от трех комбинаций блока зубчатых колес вала / шпиндель может получить еще три частоты вращения через зубча</w:t>
      </w:r>
      <w:r>
        <w:rPr>
          <w:i/>
          <w:iCs/>
          <w:color w:val="000000"/>
          <w:shd w:val="clear" w:color="auto" w:fill="FFFFFF"/>
        </w:rPr>
        <w:softHyphen/>
        <w:t>тое колесо //. Таким образом, шпиндель токарного станка имеет шесть частот вращения или может вращаться с шестью различными числами</w:t>
      </w:r>
      <w:r>
        <w:rPr>
          <w:i/>
          <w:iCs/>
          <w:color w:val="000000"/>
          <w:shd w:val="clear" w:color="auto" w:fill="FFFFFF"/>
          <w:vertAlign w:val="superscript"/>
        </w:rPr>
        <w:t> </w:t>
      </w:r>
      <w:r>
        <w:rPr>
          <w:i/>
          <w:iCs/>
          <w:color w:val="000000"/>
          <w:shd w:val="clear" w:color="auto" w:fill="FFFFFF"/>
        </w:rPr>
        <w:t>оборотов.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jc w:val="both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На рисунке 1а показана модель кривошипно-ползунного механизма. Кривошип 1-ведущее звено, вращающееся вокруг неподвижной оси.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jc w:val="both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Звено 3-ползун - совершает возвратно-поступательное движение. Звенья механизма связаны между собой и неподвижной стойкой 4 с помощью шарниров.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jc w:val="both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На рис. 3 изображена кинематическая схема этого механизма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jc w:val="both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Условные графические обозначения звеньев и кинематических пар механизмов должны выполняться в соответствии с ГОСТ 2.770-68. "Обозначения условные графические в схемах. Элементы кинематики"</w:t>
      </w:r>
    </w:p>
    <w:p w:rsidR="00A737F2" w:rsidRDefault="00A737F2" w:rsidP="00A737F2">
      <w:pPr>
        <w:spacing w:line="20" w:lineRule="atLeast"/>
        <w:ind w:firstLine="567"/>
        <w:jc w:val="center"/>
      </w:pPr>
      <w:r>
        <w:rPr>
          <w:noProof/>
        </w:rPr>
        <w:drawing>
          <wp:inline distT="0" distB="0" distL="0" distR="0">
            <wp:extent cx="3295650" cy="2971800"/>
            <wp:effectExtent l="0" t="0" r="0" b="0"/>
            <wp:docPr id="1" name="Рисунок 1" descr="image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image02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37F2" w:rsidRDefault="00A737F2" w:rsidP="00A737F2">
      <w:pPr>
        <w:spacing w:line="20" w:lineRule="atLeast"/>
        <w:ind w:firstLine="567"/>
        <w:jc w:val="both"/>
      </w:pP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jc w:val="both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На рис. 1.1, а-к показаны модели различных механизмов, подобные тем, для которых нужно выполнить кинематические схемы.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jc w:val="both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а-зубчатая передача; б-ременная передача с клиновым ремнем, в - цепная передача; г — фрикционный вариатор; д — шарнирно-рычажный механизм; е — эксцентриковый механизм; ж- модель механизма с мальтийским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jc w:val="both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крестом, зубчатой и ленточной передачами; з - кулачковый механизм; и - кулачковый и реечный механизмы; г- кулисный механизм.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jc w:val="both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 xml:space="preserve">При выполнении данной работы могут быть использованы и </w:t>
      </w:r>
      <w:proofErr w:type="gramStart"/>
      <w:r>
        <w:rPr>
          <w:i/>
          <w:iCs/>
          <w:color w:val="000000"/>
          <w:shd w:val="clear" w:color="auto" w:fill="FFFFFF"/>
        </w:rPr>
        <w:t>другие модели</w:t>
      </w:r>
      <w:proofErr w:type="gramEnd"/>
      <w:r>
        <w:rPr>
          <w:i/>
          <w:iCs/>
          <w:color w:val="000000"/>
          <w:shd w:val="clear" w:color="auto" w:fill="FFFFFF"/>
        </w:rPr>
        <w:t xml:space="preserve"> и механизмы.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jc w:val="both"/>
        <w:rPr>
          <w:i/>
          <w:iCs/>
          <w:color w:val="000000"/>
          <w:shd w:val="clear" w:color="auto" w:fill="FFFFFF"/>
        </w:rPr>
      </w:pP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jc w:val="both"/>
        <w:rPr>
          <w:i/>
          <w:iCs/>
          <w:color w:val="000000"/>
          <w:shd w:val="clear" w:color="auto" w:fill="FFFFFF"/>
        </w:rPr>
      </w:pPr>
      <w:bookmarkStart w:id="0" w:name="_GoBack"/>
      <w:bookmarkEnd w:id="0"/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jc w:val="both"/>
        <w:rPr>
          <w:i/>
          <w:iCs/>
          <w:color w:val="000000"/>
          <w:shd w:val="clear" w:color="auto" w:fill="FFFFFF"/>
        </w:rPr>
      </w:pPr>
      <w:r>
        <w:rPr>
          <w:rStyle w:val="a4"/>
          <w:i/>
          <w:iCs/>
          <w:color w:val="000000"/>
          <w:shd w:val="clear" w:color="auto" w:fill="FFFFFF"/>
        </w:rPr>
        <w:t>Порядок выполнения работы.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jc w:val="both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1. Ознакомиться с моделью механизма или узла. Медленно привести в движение, ведущее звено проследить за движением всех остальных звеньев. Установить, какими кинематическими парами связаны между собой звенья механизма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jc w:val="both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2.Начертить кинематическую схему механизма в соответствии с условным изображением по ГОСТ 2.770-68. Измерить расстояние между центрами вращательных кинематических пар, расстояние, на которое перемещается звено поступательной пары, число зубьев зубчатых колес, диаметры шкивов и т.п. Эти размеры проставить на схеме механизма. Подсчитать число зубьев и кинематических пар. Данные записать в отчет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jc w:val="both"/>
        <w:rPr>
          <w:i/>
          <w:iCs/>
          <w:color w:val="000000"/>
          <w:shd w:val="clear" w:color="auto" w:fill="FFFFFF"/>
        </w:rPr>
      </w:pP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jc w:val="both"/>
        <w:rPr>
          <w:i/>
          <w:iCs/>
          <w:color w:val="000000"/>
          <w:shd w:val="clear" w:color="auto" w:fill="FFFFFF"/>
        </w:rPr>
      </w:pP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jc w:val="both"/>
        <w:rPr>
          <w:i/>
          <w:iCs/>
          <w:color w:val="000000"/>
          <w:shd w:val="clear" w:color="auto" w:fill="FFFFFF"/>
        </w:rPr>
      </w:pP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jc w:val="both"/>
        <w:rPr>
          <w:i/>
          <w:iCs/>
          <w:color w:val="000000"/>
          <w:shd w:val="clear" w:color="auto" w:fill="FFFFFF"/>
        </w:rPr>
      </w:pP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jc w:val="both"/>
        <w:rPr>
          <w:i/>
          <w:iCs/>
          <w:color w:val="000000"/>
          <w:shd w:val="clear" w:color="auto" w:fill="FFFFFF"/>
        </w:rPr>
      </w:pPr>
      <w:r>
        <w:rPr>
          <w:rStyle w:val="a4"/>
          <w:i/>
          <w:iCs/>
          <w:color w:val="000000"/>
          <w:shd w:val="clear" w:color="auto" w:fill="FFFFFF"/>
        </w:rPr>
        <w:t>Отчет о работе.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jc w:val="both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Кинематическая схема механизма с указанием номера и размеров звена, вида кинематических пар и их обозначения в виде таблицы.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jc w:val="both"/>
        <w:rPr>
          <w:i/>
          <w:iCs/>
          <w:color w:val="000000"/>
          <w:shd w:val="clear" w:color="auto" w:fill="FFFFFF"/>
        </w:rPr>
      </w:pP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jc w:val="both"/>
        <w:rPr>
          <w:i/>
          <w:iCs/>
          <w:color w:val="000000"/>
          <w:shd w:val="clear" w:color="auto" w:fill="FFFFFF"/>
        </w:rPr>
      </w:pPr>
      <w:r>
        <w:rPr>
          <w:rStyle w:val="a4"/>
          <w:i/>
          <w:iCs/>
          <w:color w:val="000000"/>
          <w:shd w:val="clear" w:color="auto" w:fill="FFFFFF"/>
        </w:rPr>
        <w:t>Вопросы для собеседования: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jc w:val="both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1. Что называется механизмом?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jc w:val="both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2. Что называется машиной?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jc w:val="both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3. Что называется деталью?</w:t>
      </w:r>
    </w:p>
    <w:p w:rsidR="00A737F2" w:rsidRDefault="00A737F2" w:rsidP="00A737F2">
      <w:pPr>
        <w:pStyle w:val="a3"/>
        <w:spacing w:before="0" w:beforeAutospacing="0" w:after="0" w:afterAutospacing="0" w:line="20" w:lineRule="atLeast"/>
        <w:ind w:firstLine="567"/>
        <w:jc w:val="both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4. Что называется сборочной единицей?</w:t>
      </w:r>
    </w:p>
    <w:p w:rsidR="00A737F2" w:rsidRDefault="00A737F2" w:rsidP="00A737F2">
      <w:pPr>
        <w:spacing w:line="20" w:lineRule="atLeast"/>
        <w:ind w:firstLine="567"/>
        <w:jc w:val="both"/>
      </w:pPr>
    </w:p>
    <w:p w:rsidR="00A737F2" w:rsidRDefault="00A737F2" w:rsidP="00A737F2">
      <w:pPr>
        <w:ind w:firstLine="567"/>
        <w:jc w:val="both"/>
      </w:pPr>
    </w:p>
    <w:sectPr w:rsidR="00A73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97C"/>
    <w:rsid w:val="0083597C"/>
    <w:rsid w:val="00A737F2"/>
    <w:rsid w:val="00C33922"/>
    <w:rsid w:val="00F53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C9071"/>
  <w15:chartTrackingRefBased/>
  <w15:docId w15:val="{97ABC368-4A5E-4F92-A40B-07FB9C5F6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9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3922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A737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1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gif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1441</Words>
  <Characters>8219</Characters>
  <Application>Microsoft Office Word</Application>
  <DocSecurity>0</DocSecurity>
  <Lines>68</Lines>
  <Paragraphs>19</Paragraphs>
  <ScaleCrop>false</ScaleCrop>
  <Company/>
  <LinksUpToDate>false</LinksUpToDate>
  <CharactersWithSpaces>9641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Zaharova</dc:creator>
  <cp:keywords/>
  <dc:description/>
  <cp:lastModifiedBy>Zaharova</cp:lastModifiedBy>
  <cp:revision>4</cp:revision>
  <dcterms:created xsi:type="dcterms:W3CDTF">2020-03-20T08:08:00Z</dcterms:created>
  <dcterms:modified xsi:type="dcterms:W3CDTF">2020-03-20T08:21:00Z</dcterms:modified>
</cp:coreProperties>
</file>